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1"/>
        <w:gridCol w:w="1441"/>
        <w:gridCol w:w="346"/>
        <w:gridCol w:w="1624"/>
        <w:gridCol w:w="2384"/>
      </w:tblGrid>
      <w:tr w:rsidR="001726F6" w:rsidRPr="00386739" w:rsidTr="00CE03A9">
        <w:tc>
          <w:tcPr>
            <w:tcW w:w="5000" w:type="pct"/>
            <w:gridSpan w:val="5"/>
            <w:shd w:val="clear" w:color="auto" w:fill="595959"/>
          </w:tcPr>
          <w:p w:rsidR="001726F6" w:rsidRPr="00386739" w:rsidRDefault="001726F6">
            <w:pPr>
              <w:pStyle w:val="Heading1"/>
            </w:pPr>
            <w:r w:rsidRPr="00386739">
              <w:t>Section 1 – Chemical Product and Company Information</w:t>
            </w:r>
          </w:p>
        </w:tc>
      </w:tr>
      <w:tr w:rsidR="001726F6" w:rsidRPr="00386739" w:rsidTr="00CE03A9">
        <w:tc>
          <w:tcPr>
            <w:tcW w:w="3024" w:type="pct"/>
            <w:gridSpan w:val="2"/>
          </w:tcPr>
          <w:p w:rsidR="001726F6" w:rsidRPr="00386739" w:rsidRDefault="001726F6">
            <w:pPr>
              <w:rPr>
                <w:b/>
                <w:bCs/>
              </w:rPr>
            </w:pPr>
            <w:r>
              <w:rPr>
                <w:b/>
                <w:bCs/>
              </w:rPr>
              <w:t>Product name:</w:t>
            </w:r>
            <w:r w:rsidRPr="00386739">
              <w:rPr>
                <w:b/>
                <w:bCs/>
              </w:rPr>
              <w:tab/>
            </w:r>
            <w:r w:rsidRPr="00386739">
              <w:rPr>
                <w:b/>
                <w:bCs/>
              </w:rPr>
              <w:tab/>
            </w:r>
            <w:r w:rsidRPr="003B232F">
              <w:rPr>
                <w:b/>
                <w:bCs/>
                <w:sz w:val="20"/>
              </w:rPr>
              <w:t>Nayaran Balm w/ Menthol &amp; Camphor</w:t>
            </w:r>
          </w:p>
          <w:p w:rsidR="001726F6" w:rsidRPr="00386739" w:rsidRDefault="001726F6">
            <w:pPr>
              <w:pStyle w:val="Heading3"/>
              <w:rPr>
                <w:sz w:val="24"/>
              </w:rPr>
            </w:pPr>
            <w:r w:rsidRPr="00386739">
              <w:rPr>
                <w:sz w:val="24"/>
              </w:rPr>
              <w:t xml:space="preserve">Chemical formula:  </w:t>
            </w:r>
            <w:r w:rsidRPr="00386739">
              <w:rPr>
                <w:sz w:val="24"/>
              </w:rPr>
              <w:tab/>
            </w:r>
            <w:r>
              <w:rPr>
                <w:sz w:val="24"/>
              </w:rPr>
              <w:tab/>
            </w:r>
            <w:r w:rsidRPr="00386739">
              <w:rPr>
                <w:sz w:val="24"/>
              </w:rPr>
              <w:t>Mixture</w:t>
            </w:r>
          </w:p>
          <w:p w:rsidR="001726F6" w:rsidRPr="00386739" w:rsidRDefault="001726F6" w:rsidP="00D44A4E">
            <w:pPr>
              <w:pStyle w:val="Heading3"/>
              <w:rPr>
                <w:sz w:val="24"/>
              </w:rPr>
            </w:pPr>
            <w:r>
              <w:rPr>
                <w:sz w:val="24"/>
              </w:rPr>
              <w:t>Product Use:</w:t>
            </w:r>
            <w:r>
              <w:rPr>
                <w:sz w:val="24"/>
              </w:rPr>
              <w:tab/>
            </w:r>
            <w:r w:rsidRPr="00386739">
              <w:rPr>
                <w:sz w:val="24"/>
              </w:rPr>
              <w:tab/>
            </w:r>
            <w:r>
              <w:rPr>
                <w:sz w:val="24"/>
              </w:rPr>
              <w:tab/>
            </w:r>
            <w:r w:rsidRPr="00386739">
              <w:rPr>
                <w:sz w:val="24"/>
              </w:rPr>
              <w:t>Professional or Sundry</w:t>
            </w:r>
          </w:p>
        </w:tc>
        <w:tc>
          <w:tcPr>
            <w:tcW w:w="1976" w:type="pct"/>
            <w:gridSpan w:val="3"/>
          </w:tcPr>
          <w:p w:rsidR="001726F6" w:rsidRPr="00386739" w:rsidRDefault="001726F6" w:rsidP="00270352">
            <w:pPr>
              <w:rPr>
                <w:b/>
                <w:bCs/>
              </w:rPr>
            </w:pPr>
            <w:r w:rsidRPr="00386739">
              <w:rPr>
                <w:b/>
                <w:bCs/>
              </w:rPr>
              <w:t xml:space="preserve">Manufacturer:  </w:t>
            </w:r>
          </w:p>
          <w:p w:rsidR="001726F6" w:rsidRPr="00386739" w:rsidRDefault="001726F6" w:rsidP="00270352">
            <w:pPr>
              <w:rPr>
                <w:b/>
                <w:bCs/>
              </w:rPr>
            </w:pPr>
            <w:r w:rsidRPr="00386739">
              <w:rPr>
                <w:b/>
                <w:bCs/>
              </w:rPr>
              <w:t>Soothing Touch</w:t>
            </w:r>
          </w:p>
          <w:p w:rsidR="001726F6" w:rsidRPr="00386739" w:rsidRDefault="001726F6" w:rsidP="00270352">
            <w:pPr>
              <w:autoSpaceDE w:val="0"/>
              <w:autoSpaceDN w:val="0"/>
              <w:adjustRightInd w:val="0"/>
              <w:rPr>
                <w:b/>
              </w:rPr>
            </w:pPr>
            <w:smartTag w:uri="urn:schemas-microsoft-com:office:smarttags" w:element="Street">
              <w:smartTag w:uri="urn:schemas-microsoft-com:office:smarttags" w:element="address">
                <w:r>
                  <w:rPr>
                    <w:b/>
                  </w:rPr>
                  <w:t>35 Bisbee Ct.</w:t>
                </w:r>
              </w:smartTag>
            </w:smartTag>
            <w:r w:rsidRPr="00386739">
              <w:rPr>
                <w:b/>
              </w:rPr>
              <w:t xml:space="preserve"> </w:t>
            </w:r>
          </w:p>
          <w:p w:rsidR="001726F6" w:rsidRPr="00386739" w:rsidRDefault="001726F6" w:rsidP="00270352">
            <w:pPr>
              <w:autoSpaceDE w:val="0"/>
              <w:autoSpaceDN w:val="0"/>
              <w:adjustRightInd w:val="0"/>
              <w:rPr>
                <w:b/>
              </w:rPr>
            </w:pPr>
            <w:smartTag w:uri="urn:schemas-microsoft-com:office:smarttags" w:element="place">
              <w:smartTag w:uri="urn:schemas-microsoft-com:office:smarttags" w:element="City">
                <w:r w:rsidRPr="00386739">
                  <w:rPr>
                    <w:b/>
                  </w:rPr>
                  <w:t>Santa Fe</w:t>
                </w:r>
              </w:smartTag>
              <w:r w:rsidRPr="00386739">
                <w:rPr>
                  <w:b/>
                </w:rPr>
                <w:t xml:space="preserve">, </w:t>
              </w:r>
              <w:smartTag w:uri="urn:schemas-microsoft-com:office:smarttags" w:element="PostalCode">
                <w:r w:rsidRPr="00386739">
                  <w:rPr>
                    <w:b/>
                  </w:rPr>
                  <w:t>NM</w:t>
                </w:r>
              </w:smartTag>
              <w:r>
                <w:rPr>
                  <w:b/>
                </w:rPr>
                <w:t xml:space="preserve"> </w:t>
              </w:r>
              <w:smartTag w:uri="urn:schemas-microsoft-com:office:smarttags" w:element="PostalCode">
                <w:r>
                  <w:rPr>
                    <w:b/>
                  </w:rPr>
                  <w:t>87508</w:t>
                </w:r>
              </w:smartTag>
            </w:smartTag>
          </w:p>
          <w:p w:rsidR="001726F6" w:rsidRPr="00386739" w:rsidRDefault="001726F6" w:rsidP="00270352">
            <w:pPr>
              <w:autoSpaceDE w:val="0"/>
              <w:autoSpaceDN w:val="0"/>
              <w:adjustRightInd w:val="0"/>
              <w:rPr>
                <w:b/>
              </w:rPr>
            </w:pPr>
            <w:r w:rsidRPr="00386739">
              <w:rPr>
                <w:b/>
              </w:rPr>
              <w:t>505-820-1054</w:t>
            </w:r>
          </w:p>
        </w:tc>
      </w:tr>
      <w:tr w:rsidR="001726F6" w:rsidRPr="00386739" w:rsidTr="00CE03A9">
        <w:tc>
          <w:tcPr>
            <w:tcW w:w="5000" w:type="pct"/>
            <w:gridSpan w:val="5"/>
            <w:shd w:val="clear" w:color="auto" w:fill="595959"/>
          </w:tcPr>
          <w:p w:rsidR="001726F6" w:rsidRPr="00386739" w:rsidRDefault="001726F6">
            <w:pPr>
              <w:pStyle w:val="Heading1"/>
            </w:pPr>
            <w:r w:rsidRPr="00386739">
              <w:t>Section 2 – Composition/Information on Ingredients</w:t>
            </w:r>
          </w:p>
        </w:tc>
      </w:tr>
      <w:tr w:rsidR="001726F6" w:rsidRPr="00386739" w:rsidTr="00EE57B4">
        <w:tc>
          <w:tcPr>
            <w:tcW w:w="2370" w:type="pct"/>
          </w:tcPr>
          <w:p w:rsidR="001726F6" w:rsidRPr="00386739" w:rsidRDefault="001726F6" w:rsidP="00EE57B4">
            <w:pPr>
              <w:rPr>
                <w:b/>
              </w:rPr>
            </w:pPr>
            <w:r w:rsidRPr="00386739">
              <w:rPr>
                <w:b/>
              </w:rPr>
              <w:t>Name</w:t>
            </w:r>
          </w:p>
        </w:tc>
        <w:tc>
          <w:tcPr>
            <w:tcW w:w="811" w:type="pct"/>
            <w:gridSpan w:val="2"/>
          </w:tcPr>
          <w:p w:rsidR="001726F6" w:rsidRPr="00386739" w:rsidRDefault="001726F6" w:rsidP="00EE57B4">
            <w:pPr>
              <w:rPr>
                <w:b/>
              </w:rPr>
            </w:pPr>
            <w:r w:rsidRPr="00386739">
              <w:rPr>
                <w:b/>
              </w:rPr>
              <w:t>CAS #</w:t>
            </w:r>
          </w:p>
        </w:tc>
        <w:tc>
          <w:tcPr>
            <w:tcW w:w="737" w:type="pct"/>
          </w:tcPr>
          <w:p w:rsidR="001726F6" w:rsidRPr="00386739" w:rsidRDefault="001726F6" w:rsidP="00EE57B4">
            <w:pPr>
              <w:jc w:val="center"/>
              <w:rPr>
                <w:b/>
              </w:rPr>
            </w:pPr>
            <w:r w:rsidRPr="00386739">
              <w:rPr>
                <w:b/>
              </w:rPr>
              <w:t>%</w:t>
            </w:r>
          </w:p>
        </w:tc>
        <w:tc>
          <w:tcPr>
            <w:tcW w:w="1082" w:type="pct"/>
          </w:tcPr>
          <w:p w:rsidR="001726F6" w:rsidRPr="00386739" w:rsidRDefault="001726F6" w:rsidP="00EE57B4">
            <w:pPr>
              <w:tabs>
                <w:tab w:val="left" w:pos="432"/>
              </w:tabs>
              <w:rPr>
                <w:b/>
              </w:rPr>
            </w:pPr>
            <w:r w:rsidRPr="00386739">
              <w:rPr>
                <w:b/>
              </w:rPr>
              <w:t>Exposure limits</w:t>
            </w:r>
          </w:p>
        </w:tc>
      </w:tr>
      <w:tr w:rsidR="001726F6" w:rsidRPr="00386739" w:rsidTr="00EE57B4">
        <w:tc>
          <w:tcPr>
            <w:tcW w:w="2370" w:type="pct"/>
          </w:tcPr>
          <w:p w:rsidR="001726F6" w:rsidRPr="00386739" w:rsidRDefault="001726F6" w:rsidP="001E145C">
            <w:r>
              <w:t xml:space="preserve">Oil, Sesame </w:t>
            </w:r>
          </w:p>
        </w:tc>
        <w:tc>
          <w:tcPr>
            <w:tcW w:w="811" w:type="pct"/>
            <w:gridSpan w:val="2"/>
          </w:tcPr>
          <w:p w:rsidR="001726F6" w:rsidRPr="00386739" w:rsidRDefault="001726F6" w:rsidP="00EE57B4">
            <w:r w:rsidRPr="001E145C">
              <w:t>8008-74-0</w:t>
            </w:r>
          </w:p>
        </w:tc>
        <w:tc>
          <w:tcPr>
            <w:tcW w:w="737" w:type="pct"/>
          </w:tcPr>
          <w:p w:rsidR="001726F6" w:rsidRPr="00386739" w:rsidRDefault="001726F6" w:rsidP="00EE57B4">
            <w:pPr>
              <w:jc w:val="center"/>
            </w:pPr>
            <w:r>
              <w:t>20-40</w:t>
            </w:r>
          </w:p>
        </w:tc>
        <w:tc>
          <w:tcPr>
            <w:tcW w:w="1082" w:type="pct"/>
          </w:tcPr>
          <w:p w:rsidR="001726F6" w:rsidRPr="00386739" w:rsidRDefault="001726F6" w:rsidP="00EE57B4">
            <w:pPr>
              <w:tabs>
                <w:tab w:val="left" w:pos="432"/>
              </w:tabs>
            </w:pPr>
            <w:r w:rsidRPr="001E145C">
              <w:t>5 mg/m3 (oil mist) TWA</w:t>
            </w:r>
          </w:p>
        </w:tc>
      </w:tr>
      <w:tr w:rsidR="001726F6" w:rsidRPr="00386739" w:rsidTr="00EE57B4">
        <w:tc>
          <w:tcPr>
            <w:tcW w:w="2370" w:type="pct"/>
          </w:tcPr>
          <w:p w:rsidR="001726F6" w:rsidRPr="00386739" w:rsidRDefault="001726F6" w:rsidP="00EE57B4">
            <w:r>
              <w:t>Candelilla Wax</w:t>
            </w:r>
          </w:p>
        </w:tc>
        <w:tc>
          <w:tcPr>
            <w:tcW w:w="811" w:type="pct"/>
            <w:gridSpan w:val="2"/>
          </w:tcPr>
          <w:p w:rsidR="001726F6" w:rsidRPr="00386739" w:rsidRDefault="001726F6" w:rsidP="00EE57B4">
            <w:r w:rsidRPr="00E647F2">
              <w:t>8006-44-8</w:t>
            </w:r>
          </w:p>
        </w:tc>
        <w:tc>
          <w:tcPr>
            <w:tcW w:w="737" w:type="pct"/>
          </w:tcPr>
          <w:p w:rsidR="001726F6" w:rsidRPr="00386739" w:rsidRDefault="001726F6" w:rsidP="00EE57B4">
            <w:pPr>
              <w:jc w:val="center"/>
            </w:pPr>
            <w:r>
              <w:t>10-20</w:t>
            </w:r>
          </w:p>
        </w:tc>
        <w:tc>
          <w:tcPr>
            <w:tcW w:w="1082" w:type="pct"/>
          </w:tcPr>
          <w:p w:rsidR="001726F6" w:rsidRPr="00386739" w:rsidRDefault="001726F6" w:rsidP="00EE57B4">
            <w:pPr>
              <w:tabs>
                <w:tab w:val="left" w:pos="432"/>
              </w:tabs>
            </w:pPr>
            <w:r>
              <w:t>None established</w:t>
            </w:r>
          </w:p>
        </w:tc>
      </w:tr>
      <w:tr w:rsidR="001726F6" w:rsidRPr="00386739" w:rsidTr="00EE57B4">
        <w:tc>
          <w:tcPr>
            <w:tcW w:w="2370" w:type="pct"/>
          </w:tcPr>
          <w:p w:rsidR="001726F6" w:rsidRDefault="001726F6" w:rsidP="00E47DD8">
            <w:r>
              <w:t xml:space="preserve">White </w:t>
            </w:r>
            <w:bookmarkStart w:id="0" w:name="_GoBack"/>
            <w:bookmarkEnd w:id="0"/>
            <w:r>
              <w:t>Camphor Oil</w:t>
            </w:r>
          </w:p>
        </w:tc>
        <w:tc>
          <w:tcPr>
            <w:tcW w:w="811" w:type="pct"/>
            <w:gridSpan w:val="2"/>
          </w:tcPr>
          <w:p w:rsidR="001726F6" w:rsidRPr="00386739" w:rsidRDefault="001726F6" w:rsidP="00EE57B4">
            <w:r w:rsidRPr="00AD2D36">
              <w:t>8008-51-3</w:t>
            </w:r>
          </w:p>
        </w:tc>
        <w:tc>
          <w:tcPr>
            <w:tcW w:w="737" w:type="pct"/>
          </w:tcPr>
          <w:p w:rsidR="001726F6" w:rsidRPr="00386739" w:rsidRDefault="001726F6" w:rsidP="00EE57B4">
            <w:pPr>
              <w:jc w:val="center"/>
            </w:pPr>
            <w:r>
              <w:t>10-20</w:t>
            </w:r>
          </w:p>
        </w:tc>
        <w:tc>
          <w:tcPr>
            <w:tcW w:w="1082" w:type="pct"/>
          </w:tcPr>
          <w:p w:rsidR="001726F6" w:rsidRPr="00386739" w:rsidRDefault="001726F6" w:rsidP="00655DBA">
            <w:pPr>
              <w:tabs>
                <w:tab w:val="left" w:pos="432"/>
              </w:tabs>
            </w:pPr>
            <w:r>
              <w:t>None established</w:t>
            </w:r>
          </w:p>
        </w:tc>
      </w:tr>
      <w:tr w:rsidR="001726F6" w:rsidRPr="00386739" w:rsidTr="00EE57B4">
        <w:tc>
          <w:tcPr>
            <w:tcW w:w="2370" w:type="pct"/>
          </w:tcPr>
          <w:p w:rsidR="001726F6" w:rsidRPr="00386739" w:rsidRDefault="001726F6" w:rsidP="00E47DD8">
            <w:r>
              <w:t>Clove Leaf Oil</w:t>
            </w:r>
          </w:p>
        </w:tc>
        <w:tc>
          <w:tcPr>
            <w:tcW w:w="811" w:type="pct"/>
            <w:gridSpan w:val="2"/>
          </w:tcPr>
          <w:p w:rsidR="001726F6" w:rsidRPr="00386739" w:rsidRDefault="001726F6" w:rsidP="00EE57B4">
            <w:r w:rsidRPr="004A59D7">
              <w:t>8000-34-8</w:t>
            </w:r>
          </w:p>
        </w:tc>
        <w:tc>
          <w:tcPr>
            <w:tcW w:w="737" w:type="pct"/>
          </w:tcPr>
          <w:p w:rsidR="001726F6" w:rsidRPr="00386739" w:rsidRDefault="001726F6" w:rsidP="00EE57B4">
            <w:pPr>
              <w:jc w:val="center"/>
            </w:pPr>
            <w:r>
              <w:t>10-20</w:t>
            </w:r>
          </w:p>
        </w:tc>
        <w:tc>
          <w:tcPr>
            <w:tcW w:w="1082" w:type="pct"/>
          </w:tcPr>
          <w:p w:rsidR="001726F6" w:rsidRPr="00386739" w:rsidRDefault="001726F6" w:rsidP="00655DBA">
            <w:pPr>
              <w:tabs>
                <w:tab w:val="left" w:pos="432"/>
              </w:tabs>
            </w:pPr>
            <w:r>
              <w:t>None established</w:t>
            </w:r>
          </w:p>
        </w:tc>
      </w:tr>
      <w:tr w:rsidR="001726F6" w:rsidRPr="00386739" w:rsidTr="00EA4B8E">
        <w:tc>
          <w:tcPr>
            <w:tcW w:w="2370" w:type="pct"/>
          </w:tcPr>
          <w:p w:rsidR="001726F6" w:rsidRPr="00386739" w:rsidRDefault="001726F6" w:rsidP="00EA4B8E">
            <w:r w:rsidRPr="00386739">
              <w:t>Mentha piperita (Peppermint) Oil</w:t>
            </w:r>
          </w:p>
        </w:tc>
        <w:tc>
          <w:tcPr>
            <w:tcW w:w="811" w:type="pct"/>
            <w:gridSpan w:val="2"/>
          </w:tcPr>
          <w:p w:rsidR="001726F6" w:rsidRPr="00386739" w:rsidRDefault="001726F6" w:rsidP="00EA4B8E">
            <w:r w:rsidRPr="00386739">
              <w:t>8006-90-4</w:t>
            </w:r>
          </w:p>
        </w:tc>
        <w:tc>
          <w:tcPr>
            <w:tcW w:w="737" w:type="pct"/>
          </w:tcPr>
          <w:p w:rsidR="001726F6" w:rsidRPr="00386739" w:rsidRDefault="001726F6" w:rsidP="00EA4B8E">
            <w:pPr>
              <w:jc w:val="center"/>
            </w:pPr>
            <w:r>
              <w:t>10-20</w:t>
            </w:r>
          </w:p>
        </w:tc>
        <w:tc>
          <w:tcPr>
            <w:tcW w:w="1082" w:type="pct"/>
          </w:tcPr>
          <w:p w:rsidR="001726F6" w:rsidRPr="00386739" w:rsidRDefault="001726F6" w:rsidP="00EA4B8E">
            <w:pPr>
              <w:tabs>
                <w:tab w:val="left" w:pos="432"/>
              </w:tabs>
            </w:pPr>
            <w:r>
              <w:t>None established</w:t>
            </w:r>
          </w:p>
        </w:tc>
      </w:tr>
      <w:tr w:rsidR="001726F6" w:rsidRPr="00386739" w:rsidTr="00EE57B4">
        <w:tc>
          <w:tcPr>
            <w:tcW w:w="2370" w:type="pct"/>
          </w:tcPr>
          <w:p w:rsidR="001726F6" w:rsidRPr="00386739" w:rsidRDefault="001726F6" w:rsidP="00EE57B4">
            <w:r>
              <w:t>Eucalyptus Oil</w:t>
            </w:r>
          </w:p>
        </w:tc>
        <w:tc>
          <w:tcPr>
            <w:tcW w:w="811" w:type="pct"/>
            <w:gridSpan w:val="2"/>
          </w:tcPr>
          <w:p w:rsidR="001726F6" w:rsidRPr="00386739" w:rsidRDefault="001726F6" w:rsidP="00EE57B4">
            <w:r w:rsidRPr="004A59D7">
              <w:t>8000-48-4</w:t>
            </w:r>
          </w:p>
        </w:tc>
        <w:tc>
          <w:tcPr>
            <w:tcW w:w="737" w:type="pct"/>
          </w:tcPr>
          <w:p w:rsidR="001726F6" w:rsidRPr="00386739" w:rsidRDefault="001726F6" w:rsidP="00EE57B4">
            <w:pPr>
              <w:jc w:val="center"/>
            </w:pPr>
            <w:r>
              <w:t>10-20</w:t>
            </w:r>
          </w:p>
        </w:tc>
        <w:tc>
          <w:tcPr>
            <w:tcW w:w="1082" w:type="pct"/>
          </w:tcPr>
          <w:p w:rsidR="001726F6" w:rsidRPr="00386739" w:rsidRDefault="001726F6" w:rsidP="00EE57B4">
            <w:pPr>
              <w:tabs>
                <w:tab w:val="left" w:pos="432"/>
              </w:tabs>
            </w:pPr>
            <w:r>
              <w:t>None established</w:t>
            </w:r>
          </w:p>
        </w:tc>
      </w:tr>
      <w:tr w:rsidR="001726F6" w:rsidRPr="00386739" w:rsidTr="0075302E">
        <w:tc>
          <w:tcPr>
            <w:tcW w:w="2370" w:type="pct"/>
          </w:tcPr>
          <w:p w:rsidR="001726F6" w:rsidRPr="00386739" w:rsidRDefault="001726F6" w:rsidP="0075302E">
            <w:r>
              <w:t>Menthol</w:t>
            </w:r>
          </w:p>
        </w:tc>
        <w:tc>
          <w:tcPr>
            <w:tcW w:w="811" w:type="pct"/>
            <w:gridSpan w:val="2"/>
          </w:tcPr>
          <w:p w:rsidR="001726F6" w:rsidRPr="00386739" w:rsidRDefault="001726F6" w:rsidP="0075302E">
            <w:r w:rsidRPr="001E145C">
              <w:t>2216-51-5</w:t>
            </w:r>
          </w:p>
        </w:tc>
        <w:tc>
          <w:tcPr>
            <w:tcW w:w="737" w:type="pct"/>
          </w:tcPr>
          <w:p w:rsidR="001726F6" w:rsidRPr="00386739" w:rsidRDefault="001726F6" w:rsidP="0075302E">
            <w:pPr>
              <w:jc w:val="center"/>
            </w:pPr>
            <w:r>
              <w:t>5-10</w:t>
            </w:r>
          </w:p>
        </w:tc>
        <w:tc>
          <w:tcPr>
            <w:tcW w:w="1082" w:type="pct"/>
          </w:tcPr>
          <w:p w:rsidR="001726F6" w:rsidRPr="00386739" w:rsidRDefault="001726F6" w:rsidP="0075302E">
            <w:pPr>
              <w:tabs>
                <w:tab w:val="left" w:pos="432"/>
              </w:tabs>
            </w:pPr>
            <w:r>
              <w:t>None established</w:t>
            </w:r>
          </w:p>
        </w:tc>
      </w:tr>
      <w:tr w:rsidR="001726F6" w:rsidRPr="00386739" w:rsidTr="00EE57B4">
        <w:tc>
          <w:tcPr>
            <w:tcW w:w="2370" w:type="pct"/>
          </w:tcPr>
          <w:p w:rsidR="001726F6" w:rsidRPr="00386739" w:rsidRDefault="001726F6" w:rsidP="00EE57B4">
            <w:r>
              <w:t>Beeswax</w:t>
            </w:r>
          </w:p>
        </w:tc>
        <w:tc>
          <w:tcPr>
            <w:tcW w:w="811" w:type="pct"/>
            <w:gridSpan w:val="2"/>
          </w:tcPr>
          <w:p w:rsidR="001726F6" w:rsidRPr="00386739" w:rsidRDefault="001726F6" w:rsidP="00EE57B4">
            <w:r w:rsidRPr="00E647F2">
              <w:t>8012-89-3</w:t>
            </w:r>
          </w:p>
        </w:tc>
        <w:tc>
          <w:tcPr>
            <w:tcW w:w="737" w:type="pct"/>
          </w:tcPr>
          <w:p w:rsidR="001726F6" w:rsidRPr="00386739" w:rsidRDefault="001726F6" w:rsidP="00EE57B4">
            <w:pPr>
              <w:jc w:val="center"/>
            </w:pPr>
            <w:r>
              <w:t>2-10</w:t>
            </w:r>
          </w:p>
        </w:tc>
        <w:tc>
          <w:tcPr>
            <w:tcW w:w="1082" w:type="pct"/>
          </w:tcPr>
          <w:p w:rsidR="001726F6" w:rsidRPr="00386739" w:rsidRDefault="001726F6" w:rsidP="00EE57B4">
            <w:pPr>
              <w:tabs>
                <w:tab w:val="left" w:pos="432"/>
              </w:tabs>
            </w:pPr>
            <w:r>
              <w:t>None established</w:t>
            </w:r>
          </w:p>
        </w:tc>
      </w:tr>
      <w:tr w:rsidR="001726F6" w:rsidRPr="00386739" w:rsidTr="00EE57B4">
        <w:tc>
          <w:tcPr>
            <w:tcW w:w="2370" w:type="pct"/>
          </w:tcPr>
          <w:p w:rsidR="001726F6" w:rsidRPr="00386739" w:rsidRDefault="001726F6" w:rsidP="00EE57B4">
            <w:r w:rsidRPr="00386739">
              <w:t>Other ingredients</w:t>
            </w:r>
          </w:p>
        </w:tc>
        <w:tc>
          <w:tcPr>
            <w:tcW w:w="811" w:type="pct"/>
            <w:gridSpan w:val="2"/>
          </w:tcPr>
          <w:p w:rsidR="001726F6" w:rsidRPr="00386739" w:rsidRDefault="001726F6" w:rsidP="00EE57B4">
            <w:r w:rsidRPr="00386739">
              <w:t>Trade secret</w:t>
            </w:r>
          </w:p>
        </w:tc>
        <w:tc>
          <w:tcPr>
            <w:tcW w:w="737" w:type="pct"/>
          </w:tcPr>
          <w:p w:rsidR="001726F6" w:rsidRPr="00386739" w:rsidRDefault="001726F6" w:rsidP="00EE57B4">
            <w:pPr>
              <w:jc w:val="center"/>
            </w:pPr>
            <w:r w:rsidRPr="00386739">
              <w:t>Remainder</w:t>
            </w:r>
          </w:p>
        </w:tc>
        <w:tc>
          <w:tcPr>
            <w:tcW w:w="1082" w:type="pct"/>
          </w:tcPr>
          <w:p w:rsidR="001726F6" w:rsidRPr="00386739" w:rsidRDefault="001726F6" w:rsidP="00EE57B4">
            <w:pPr>
              <w:tabs>
                <w:tab w:val="left" w:pos="432"/>
              </w:tabs>
            </w:pPr>
            <w:r w:rsidRPr="00386739">
              <w:t>N/A</w:t>
            </w:r>
          </w:p>
        </w:tc>
      </w:tr>
      <w:tr w:rsidR="001726F6" w:rsidRPr="00386739" w:rsidTr="00CE03A9">
        <w:tc>
          <w:tcPr>
            <w:tcW w:w="5000" w:type="pct"/>
            <w:gridSpan w:val="5"/>
            <w:shd w:val="clear" w:color="auto" w:fill="595959"/>
          </w:tcPr>
          <w:p w:rsidR="001726F6" w:rsidRPr="00386739" w:rsidRDefault="001726F6">
            <w:pPr>
              <w:pStyle w:val="Heading1"/>
            </w:pPr>
            <w:r w:rsidRPr="00386739">
              <w:t>Section 3 – Hazards Identification</w:t>
            </w:r>
          </w:p>
        </w:tc>
      </w:tr>
      <w:tr w:rsidR="001726F6" w:rsidRPr="00386739" w:rsidTr="00CE03A9">
        <w:tc>
          <w:tcPr>
            <w:tcW w:w="5000" w:type="pct"/>
            <w:gridSpan w:val="5"/>
          </w:tcPr>
          <w:p w:rsidR="001726F6" w:rsidRPr="00386739" w:rsidRDefault="001726F6">
            <w:r w:rsidRPr="00386739">
              <w:t xml:space="preserve">Potential Health Effects.  This product is a mixture for which no specific health hazard data exists.  OSHA requires that one should assume such mixtures present the same health hazards as do any components present in amounts greater than 1% (0.1% for carcinogens).  The formula for this product is a trade secret.  One or more of the components may pose the following health effects: </w:t>
            </w:r>
          </w:p>
        </w:tc>
      </w:tr>
      <w:tr w:rsidR="001726F6" w:rsidRPr="00386739" w:rsidTr="00CE03A9">
        <w:tc>
          <w:tcPr>
            <w:tcW w:w="5000" w:type="pct"/>
            <w:gridSpan w:val="5"/>
          </w:tcPr>
          <w:p w:rsidR="001726F6" w:rsidRPr="00386739" w:rsidRDefault="001726F6">
            <w:r w:rsidRPr="00386739">
              <w:t>Possible Routes of Exposure:  Skin and eye, ingestion, nasal, inhalation</w:t>
            </w:r>
          </w:p>
        </w:tc>
      </w:tr>
      <w:tr w:rsidR="001726F6" w:rsidRPr="00386739" w:rsidTr="00CE03A9">
        <w:tc>
          <w:tcPr>
            <w:tcW w:w="5000" w:type="pct"/>
            <w:gridSpan w:val="5"/>
          </w:tcPr>
          <w:p w:rsidR="001726F6" w:rsidRPr="00386739" w:rsidRDefault="001726F6">
            <w:r w:rsidRPr="00386739">
              <w:t>Target Organs: Eyes, skin</w:t>
            </w:r>
          </w:p>
        </w:tc>
      </w:tr>
      <w:tr w:rsidR="001726F6" w:rsidRPr="00386739" w:rsidTr="00CE03A9">
        <w:tc>
          <w:tcPr>
            <w:tcW w:w="5000" w:type="pct"/>
            <w:gridSpan w:val="5"/>
          </w:tcPr>
          <w:p w:rsidR="001726F6" w:rsidRPr="00386739" w:rsidRDefault="001726F6">
            <w:pPr>
              <w:ind w:left="360" w:hanging="360"/>
            </w:pPr>
            <w:r w:rsidRPr="00386739">
              <w:t>Acute Effects:  No problems are anticipated; if product is irritating to an individual he or she should discontinue its use.  Slightly irritating to the eyes. Ingestion of large quantities may cause gastrointestinal irritation, nausea, and vomitin</w:t>
            </w:r>
            <w:r>
              <w:t>g. Redness, itching and irritation of the skin at site of contact for some sensitive individuals.</w:t>
            </w:r>
          </w:p>
        </w:tc>
      </w:tr>
      <w:tr w:rsidR="001726F6" w:rsidRPr="00386739" w:rsidTr="00CE03A9">
        <w:tc>
          <w:tcPr>
            <w:tcW w:w="5000" w:type="pct"/>
            <w:gridSpan w:val="5"/>
          </w:tcPr>
          <w:p w:rsidR="001726F6" w:rsidRPr="00386739" w:rsidRDefault="001726F6">
            <w:pPr>
              <w:ind w:left="360" w:hanging="360"/>
            </w:pPr>
            <w:r w:rsidRPr="00386739">
              <w:t>Carcinogenicity: No components present &gt;0.</w:t>
            </w:r>
            <w:r>
              <w:t>1% are listed as carcinogens</w:t>
            </w:r>
          </w:p>
        </w:tc>
      </w:tr>
      <w:tr w:rsidR="001726F6" w:rsidRPr="00386739" w:rsidTr="00CE03A9">
        <w:tc>
          <w:tcPr>
            <w:tcW w:w="5000" w:type="pct"/>
            <w:gridSpan w:val="5"/>
          </w:tcPr>
          <w:p w:rsidR="001726F6" w:rsidRPr="00386739" w:rsidRDefault="001726F6" w:rsidP="00F32823">
            <w:pPr>
              <w:ind w:left="360" w:hanging="360"/>
            </w:pPr>
            <w:r w:rsidRPr="00386739">
              <w:t xml:space="preserve">Chronic Effects:  None anticipated; if product is irritating to an individual he or she should discontinue its use.  May aggravate existing skin, eye, or respiratory in sensitive individuals. </w:t>
            </w:r>
          </w:p>
        </w:tc>
      </w:tr>
    </w:tbl>
    <w:p w:rsidR="001726F6" w:rsidRPr="00386739" w:rsidRDefault="001726F6">
      <w:r w:rsidRPr="00386739">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1726F6" w:rsidRPr="00386739" w:rsidTr="00EE57B4">
        <w:tc>
          <w:tcPr>
            <w:tcW w:w="5000" w:type="pct"/>
            <w:shd w:val="clear" w:color="auto" w:fill="595959"/>
          </w:tcPr>
          <w:p w:rsidR="001726F6" w:rsidRPr="00386739" w:rsidRDefault="001726F6" w:rsidP="00EE57B4">
            <w:pPr>
              <w:pStyle w:val="Heading1"/>
            </w:pPr>
            <w:r w:rsidRPr="00386739">
              <w:t>Section 4 – First Aid Measures</w:t>
            </w:r>
          </w:p>
        </w:tc>
      </w:tr>
      <w:tr w:rsidR="001726F6" w:rsidRPr="00386739" w:rsidTr="00EE57B4">
        <w:tc>
          <w:tcPr>
            <w:tcW w:w="5000" w:type="pct"/>
          </w:tcPr>
          <w:p w:rsidR="001726F6" w:rsidRPr="00386739" w:rsidRDefault="001726F6" w:rsidP="00EE57B4">
            <w:pPr>
              <w:ind w:left="360" w:hanging="360"/>
            </w:pPr>
            <w:r w:rsidRPr="00386739">
              <w:t xml:space="preserve">Inhalation:  If respiratory irritation occurs remove to fresh air.  Encourage patient to blow nose to clear breathing passages.      </w:t>
            </w:r>
          </w:p>
          <w:p w:rsidR="001726F6" w:rsidRPr="00386739" w:rsidRDefault="001726F6" w:rsidP="00EE57B4">
            <w:pPr>
              <w:ind w:left="360" w:hanging="360"/>
            </w:pPr>
            <w:r w:rsidRPr="00386739">
              <w:t xml:space="preserve">Eye Contact:  Immediately hold the eyes open and flush with fresh running water for at least 15 minutes.  Ensure irrigation under the eyelids by occasionally lifting upper and lower lids.  Seek medical attention if irritation persists.  </w:t>
            </w:r>
          </w:p>
          <w:p w:rsidR="001726F6" w:rsidRPr="00386739" w:rsidRDefault="001726F6" w:rsidP="00EE57B4">
            <w:pPr>
              <w:ind w:left="360" w:hanging="360"/>
            </w:pPr>
            <w:r w:rsidRPr="00386739">
              <w:t xml:space="preserve">Skin Contact: If skin irritation occurs, wash affected areas thoroughly with water (and mild soap if available).   Seek medical attention if irritation persists.  </w:t>
            </w:r>
          </w:p>
          <w:p w:rsidR="001726F6" w:rsidRPr="00386739" w:rsidRDefault="001726F6" w:rsidP="00EE57B4">
            <w:pPr>
              <w:pStyle w:val="BodyTextIndent"/>
            </w:pPr>
            <w:r w:rsidRPr="00386739">
              <w:t>Ingestion:  DO NOT induce vomiting.  Observe the patient carefully.  If he or she appears drowsy do not give any fluids.  Otherwise, give water or milk to rinse out mouth.  Then gradually provide liquids, giving as much as patient can comfortably drink.</w:t>
            </w:r>
            <w:r>
              <w:t xml:space="preserve"> If patient is vomiting, continue to offer plenty of water or milk.</w:t>
            </w:r>
          </w:p>
        </w:tc>
      </w:tr>
      <w:tr w:rsidR="001726F6" w:rsidRPr="00386739" w:rsidTr="00EE57B4">
        <w:tc>
          <w:tcPr>
            <w:tcW w:w="5000" w:type="pct"/>
          </w:tcPr>
          <w:p w:rsidR="001726F6" w:rsidRDefault="001726F6" w:rsidP="00EE57B4">
            <w:pPr>
              <w:ind w:left="360" w:hanging="360"/>
            </w:pPr>
            <w:r>
              <w:t>Health Rating: 0</w:t>
            </w:r>
          </w:p>
          <w:p w:rsidR="001726F6" w:rsidRDefault="001726F6" w:rsidP="00EE57B4">
            <w:pPr>
              <w:ind w:left="360" w:hanging="360"/>
            </w:pPr>
            <w:r>
              <w:t>Flammability Rating: 0</w:t>
            </w:r>
          </w:p>
          <w:p w:rsidR="001726F6" w:rsidRPr="00386739" w:rsidRDefault="001726F6" w:rsidP="00EE57B4">
            <w:pPr>
              <w:ind w:left="360" w:hanging="360"/>
            </w:pPr>
            <w:r>
              <w:t>Reactivity rating: 0</w:t>
            </w:r>
          </w:p>
        </w:tc>
      </w:tr>
      <w:tr w:rsidR="001726F6" w:rsidRPr="00386739" w:rsidTr="00EE57B4">
        <w:tc>
          <w:tcPr>
            <w:tcW w:w="5000" w:type="pct"/>
            <w:shd w:val="clear" w:color="auto" w:fill="595959"/>
          </w:tcPr>
          <w:p w:rsidR="001726F6" w:rsidRPr="00386739" w:rsidRDefault="001726F6" w:rsidP="00EE57B4">
            <w:pPr>
              <w:pStyle w:val="Heading1"/>
            </w:pPr>
            <w:r w:rsidRPr="00386739">
              <w:t>Section 5 – Fire-Fighting Measures</w:t>
            </w:r>
          </w:p>
        </w:tc>
      </w:tr>
      <w:tr w:rsidR="001726F6" w:rsidRPr="00386739" w:rsidTr="00EE57B4">
        <w:tc>
          <w:tcPr>
            <w:tcW w:w="5000" w:type="pct"/>
          </w:tcPr>
          <w:p w:rsidR="001726F6" w:rsidRPr="00386739" w:rsidRDefault="001726F6" w:rsidP="00EE57B4">
            <w:pPr>
              <w:ind w:left="360" w:hanging="360"/>
            </w:pPr>
            <w:r w:rsidRPr="00386739">
              <w:t xml:space="preserve">Flash point:  </w:t>
            </w:r>
            <w:r w:rsidRPr="00386739">
              <w:tab/>
              <w:t>None established; anticipated flashpoint would be well over 200</w:t>
            </w:r>
            <w:r w:rsidRPr="00386739">
              <w:sym w:font="Symbol" w:char="F0B0"/>
            </w:r>
            <w:r w:rsidRPr="00386739">
              <w:t xml:space="preserve"> F.  </w:t>
            </w:r>
          </w:p>
          <w:p w:rsidR="001726F6" w:rsidRPr="00386739" w:rsidRDefault="001726F6" w:rsidP="00EE57B4">
            <w:pPr>
              <w:ind w:left="360" w:hanging="360"/>
            </w:pPr>
            <w:r w:rsidRPr="00386739">
              <w:tab/>
            </w:r>
            <w:r w:rsidRPr="00386739">
              <w:tab/>
            </w:r>
            <w:r w:rsidRPr="00386739">
              <w:tab/>
              <w:t>LEL:  n/a</w:t>
            </w:r>
            <w:r w:rsidRPr="00386739">
              <w:tab/>
            </w:r>
            <w:r w:rsidRPr="00386739">
              <w:tab/>
              <w:t>UEL:  n/a</w:t>
            </w:r>
          </w:p>
          <w:p w:rsidR="001726F6" w:rsidRPr="00386739" w:rsidRDefault="001726F6" w:rsidP="00EE57B4">
            <w:pPr>
              <w:ind w:left="360" w:hanging="360"/>
            </w:pPr>
            <w:r w:rsidRPr="00386739">
              <w:t xml:space="preserve">Extinguishing Media:  Suitable for surrounding fire.  </w:t>
            </w:r>
          </w:p>
          <w:p w:rsidR="001726F6" w:rsidRPr="00386739" w:rsidRDefault="001726F6" w:rsidP="00EE57B4">
            <w:pPr>
              <w:ind w:left="360" w:hanging="360"/>
            </w:pPr>
            <w:r w:rsidRPr="00386739">
              <w:t xml:space="preserve">General Fire Hazards:  </w:t>
            </w:r>
          </w:p>
          <w:p w:rsidR="001726F6" w:rsidRPr="00386739" w:rsidRDefault="001726F6" w:rsidP="00EE57B4">
            <w:pPr>
              <w:ind w:left="360" w:hanging="360"/>
            </w:pPr>
            <w:r w:rsidRPr="00386739">
              <w:t xml:space="preserve">Hazardous Combustion Products:  Incomplete combustion of organic materials can liberate carbon monoxide and carbon dioxide.  </w:t>
            </w:r>
          </w:p>
          <w:p w:rsidR="001726F6" w:rsidRPr="00386739" w:rsidRDefault="001726F6" w:rsidP="00EE57B4">
            <w:pPr>
              <w:ind w:left="360" w:hanging="360"/>
            </w:pPr>
            <w:r w:rsidRPr="00386739">
              <w:t xml:space="preserve">Fire-Fighting Instructions:  This product in consumer amounts should not be considered a fire hazard.  If a fire does occur, contact fire department and tell them location and nature of hazard.  Have MSDS for all materials in the general area of the fire readily available.   </w:t>
            </w:r>
          </w:p>
        </w:tc>
      </w:tr>
      <w:tr w:rsidR="001726F6" w:rsidRPr="00386739" w:rsidTr="00EE57B4">
        <w:tc>
          <w:tcPr>
            <w:tcW w:w="5000" w:type="pct"/>
            <w:shd w:val="clear" w:color="auto" w:fill="595959"/>
          </w:tcPr>
          <w:p w:rsidR="001726F6" w:rsidRPr="00386739" w:rsidRDefault="001726F6" w:rsidP="00EE57B4">
            <w:pPr>
              <w:pStyle w:val="Heading1"/>
            </w:pPr>
            <w:r w:rsidRPr="00386739">
              <w:t>Section 6 – Accidental Release Measures</w:t>
            </w:r>
          </w:p>
        </w:tc>
      </w:tr>
      <w:tr w:rsidR="001726F6" w:rsidRPr="00386739" w:rsidTr="00EE57B4">
        <w:tc>
          <w:tcPr>
            <w:tcW w:w="5000" w:type="pct"/>
          </w:tcPr>
          <w:p w:rsidR="001726F6" w:rsidRPr="00386739" w:rsidRDefault="001726F6" w:rsidP="00EE57B4">
            <w:pPr>
              <w:ind w:left="360" w:hanging="360"/>
            </w:pPr>
            <w:r w:rsidRPr="00386739">
              <w:t xml:space="preserve">Small Spills:  Spills may be slippery; clean up immediately.  Carefully scoop up; place in a clean container and dispose of in accordance with all applicable regulations.  Flush spill area with water.  </w:t>
            </w:r>
          </w:p>
          <w:p w:rsidR="001726F6" w:rsidRPr="00386739" w:rsidRDefault="001726F6" w:rsidP="00EE57B4">
            <w:pPr>
              <w:ind w:left="360" w:hanging="360"/>
            </w:pPr>
            <w:r w:rsidRPr="00386739">
              <w:t xml:space="preserve">Large Spills:  Carefully scoop up, and place residues in clean containers for proper disposal.  Wash area down with large quantity of water.  </w:t>
            </w:r>
          </w:p>
        </w:tc>
      </w:tr>
      <w:tr w:rsidR="001726F6" w:rsidRPr="00386739" w:rsidTr="00EE57B4">
        <w:tc>
          <w:tcPr>
            <w:tcW w:w="5000" w:type="pct"/>
            <w:shd w:val="clear" w:color="auto" w:fill="595959"/>
          </w:tcPr>
          <w:p w:rsidR="001726F6" w:rsidRPr="00386739" w:rsidRDefault="001726F6" w:rsidP="00EE57B4">
            <w:pPr>
              <w:pStyle w:val="Heading1"/>
            </w:pPr>
            <w:r w:rsidRPr="00386739">
              <w:t>Section 7 – Handling and Storage</w:t>
            </w:r>
          </w:p>
        </w:tc>
      </w:tr>
      <w:tr w:rsidR="001726F6" w:rsidRPr="00386739" w:rsidTr="00EE57B4">
        <w:tc>
          <w:tcPr>
            <w:tcW w:w="5000" w:type="pct"/>
          </w:tcPr>
          <w:p w:rsidR="001726F6" w:rsidRPr="00386739" w:rsidRDefault="001726F6" w:rsidP="00EE57B4">
            <w:pPr>
              <w:ind w:left="360" w:hanging="360"/>
            </w:pPr>
            <w:r w:rsidRPr="00386739">
              <w:t>Handling Precautions:  Use good hygiene practices.  It is best not to eat, drink, or smoke when handling.</w:t>
            </w:r>
            <w:r>
              <w:t xml:space="preserve"> Avoid open flame.</w:t>
            </w:r>
          </w:p>
        </w:tc>
      </w:tr>
      <w:tr w:rsidR="001726F6" w:rsidRPr="00386739" w:rsidTr="00EE57B4">
        <w:tc>
          <w:tcPr>
            <w:tcW w:w="5000" w:type="pct"/>
            <w:shd w:val="clear" w:color="auto" w:fill="595959"/>
          </w:tcPr>
          <w:p w:rsidR="001726F6" w:rsidRPr="00386739" w:rsidRDefault="001726F6" w:rsidP="00EE57B4">
            <w:pPr>
              <w:pStyle w:val="Heading1"/>
            </w:pPr>
            <w:r w:rsidRPr="00386739">
              <w:t>Section 8 – Exposure Controls / Personal Protection</w:t>
            </w:r>
          </w:p>
        </w:tc>
      </w:tr>
      <w:tr w:rsidR="001726F6" w:rsidRPr="00386739" w:rsidTr="00EE57B4">
        <w:tc>
          <w:tcPr>
            <w:tcW w:w="5000" w:type="pct"/>
          </w:tcPr>
          <w:p w:rsidR="001726F6" w:rsidRPr="00386739" w:rsidRDefault="001726F6" w:rsidP="00EE57B4">
            <w:r w:rsidRPr="00386739">
              <w:t xml:space="preserve">Engineering Controls:  Use in a well-ventilated area.  </w:t>
            </w:r>
          </w:p>
        </w:tc>
      </w:tr>
      <w:tr w:rsidR="001726F6" w:rsidRPr="00386739" w:rsidTr="00EE57B4">
        <w:tc>
          <w:tcPr>
            <w:tcW w:w="5000" w:type="pct"/>
          </w:tcPr>
          <w:p w:rsidR="001726F6" w:rsidRPr="00386739" w:rsidRDefault="001726F6" w:rsidP="00EE57B4">
            <w:pPr>
              <w:ind w:left="360" w:hanging="360"/>
            </w:pPr>
            <w:r w:rsidRPr="00386739">
              <w:t xml:space="preserve">Personal Protective Clothing/Equipment:  </w:t>
            </w:r>
          </w:p>
          <w:p w:rsidR="001726F6" w:rsidRPr="00386739" w:rsidRDefault="001726F6" w:rsidP="00EE57B4">
            <w:pPr>
              <w:ind w:left="360" w:hanging="360"/>
            </w:pPr>
            <w:r w:rsidRPr="00386739">
              <w:t xml:space="preserve">Eyes:  None required during normal use.  </w:t>
            </w:r>
          </w:p>
          <w:p w:rsidR="001726F6" w:rsidRPr="00386739" w:rsidRDefault="001726F6" w:rsidP="00EE57B4">
            <w:pPr>
              <w:pStyle w:val="BodyTextIndent"/>
            </w:pPr>
            <w:r w:rsidRPr="00386739">
              <w:t>Hands/Feet:  Not normally required.  Gloves may be worn for extended use or with sensitive individuals.</w:t>
            </w:r>
          </w:p>
          <w:p w:rsidR="001726F6" w:rsidRPr="00386739" w:rsidRDefault="001726F6" w:rsidP="00EE57B4">
            <w:pPr>
              <w:ind w:left="360" w:hanging="360"/>
            </w:pPr>
            <w:r w:rsidRPr="00386739">
              <w:t xml:space="preserve">Respiratory Protection:  Not normally required.  </w:t>
            </w:r>
          </w:p>
        </w:tc>
      </w:tr>
      <w:tr w:rsidR="001726F6" w:rsidRPr="00386739" w:rsidTr="00EE57B4">
        <w:tc>
          <w:tcPr>
            <w:tcW w:w="5000" w:type="pct"/>
            <w:shd w:val="clear" w:color="auto" w:fill="595959"/>
          </w:tcPr>
          <w:p w:rsidR="001726F6" w:rsidRPr="00386739" w:rsidRDefault="001726F6" w:rsidP="00EE57B4">
            <w:pPr>
              <w:pStyle w:val="Heading1"/>
            </w:pPr>
            <w:r w:rsidRPr="00386739">
              <w:t>Section 9 – Physical and Chemical Properties</w:t>
            </w:r>
          </w:p>
        </w:tc>
      </w:tr>
      <w:tr w:rsidR="001726F6" w:rsidRPr="00386739" w:rsidTr="00EE57B4">
        <w:tc>
          <w:tcPr>
            <w:tcW w:w="5000" w:type="pct"/>
          </w:tcPr>
          <w:p w:rsidR="001726F6" w:rsidRPr="00386739" w:rsidRDefault="001726F6" w:rsidP="00EE57B4">
            <w:r w:rsidRPr="00386739">
              <w:t xml:space="preserve">Appearance and Odor:  </w:t>
            </w:r>
            <w:r>
              <w:t xml:space="preserve">Yellow </w:t>
            </w:r>
            <w:r w:rsidRPr="00386739">
              <w:t>to off-white</w:t>
            </w:r>
            <w:r>
              <w:t xml:space="preserve"> lipid mixture</w:t>
            </w:r>
            <w:r w:rsidRPr="00386739">
              <w:t xml:space="preserve"> with a</w:t>
            </w:r>
            <w:r>
              <w:t>n aromatic</w:t>
            </w:r>
            <w:r w:rsidRPr="00386739">
              <w:t xml:space="preserve"> scent</w:t>
            </w:r>
          </w:p>
          <w:p w:rsidR="001726F6" w:rsidRPr="00386739" w:rsidRDefault="001726F6" w:rsidP="00EE57B4">
            <w:r w:rsidRPr="00386739">
              <w:t xml:space="preserve">Vapor Density (Air=1):  &gt;1 </w:t>
            </w:r>
          </w:p>
          <w:p w:rsidR="001726F6" w:rsidRPr="00386739" w:rsidRDefault="001726F6" w:rsidP="00EE57B4">
            <w:r>
              <w:t>Specific Gravity (Water=1):  &lt;</w:t>
            </w:r>
            <w:r w:rsidRPr="00386739">
              <w:t>1</w:t>
            </w:r>
          </w:p>
          <w:p w:rsidR="001726F6" w:rsidRDefault="001726F6" w:rsidP="00EE57B4">
            <w:r w:rsidRPr="00386739">
              <w:t xml:space="preserve">Solubility in Water:  </w:t>
            </w:r>
            <w:r>
              <w:t>Very s</w:t>
            </w:r>
            <w:r w:rsidRPr="00386739">
              <w:t>light</w:t>
            </w:r>
          </w:p>
          <w:p w:rsidR="001726F6" w:rsidRPr="00386739" w:rsidRDefault="001726F6" w:rsidP="00EE57B4"/>
        </w:tc>
      </w:tr>
      <w:tr w:rsidR="001726F6" w:rsidRPr="00386739" w:rsidTr="00EE57B4">
        <w:tc>
          <w:tcPr>
            <w:tcW w:w="5000" w:type="pct"/>
            <w:shd w:val="clear" w:color="auto" w:fill="595959"/>
          </w:tcPr>
          <w:p w:rsidR="001726F6" w:rsidRPr="00386739" w:rsidRDefault="001726F6" w:rsidP="00EE57B4">
            <w:pPr>
              <w:pStyle w:val="Heading1"/>
            </w:pPr>
            <w:r w:rsidRPr="00386739">
              <w:t>Section 10 – Stability and Reactivity</w:t>
            </w:r>
          </w:p>
        </w:tc>
      </w:tr>
      <w:tr w:rsidR="001726F6" w:rsidRPr="00386739" w:rsidTr="00EE57B4">
        <w:tc>
          <w:tcPr>
            <w:tcW w:w="5000" w:type="pct"/>
          </w:tcPr>
          <w:p w:rsidR="001726F6" w:rsidRPr="00386739" w:rsidRDefault="001726F6" w:rsidP="00EE57B4">
            <w:pPr>
              <w:ind w:left="360" w:hanging="360"/>
            </w:pPr>
            <w:r w:rsidRPr="00386739">
              <w:t xml:space="preserve">Stability:  Generally stable.  </w:t>
            </w:r>
          </w:p>
          <w:p w:rsidR="001726F6" w:rsidRPr="00386739" w:rsidRDefault="001726F6" w:rsidP="00EE57B4">
            <w:pPr>
              <w:ind w:left="360" w:hanging="360"/>
            </w:pPr>
            <w:r w:rsidRPr="00386739">
              <w:t>Polymerization:  Will not occur.</w:t>
            </w:r>
          </w:p>
          <w:p w:rsidR="001726F6" w:rsidRPr="00386739" w:rsidRDefault="001726F6" w:rsidP="00EE57B4">
            <w:pPr>
              <w:ind w:left="360" w:hanging="360"/>
            </w:pPr>
            <w:r w:rsidRPr="00386739">
              <w:t>Incompatibilities:  Contains organic components; keep away from strong oxidizers.</w:t>
            </w:r>
          </w:p>
        </w:tc>
      </w:tr>
      <w:tr w:rsidR="001726F6" w:rsidRPr="00386739" w:rsidTr="00EE57B4">
        <w:tc>
          <w:tcPr>
            <w:tcW w:w="5000" w:type="pct"/>
            <w:shd w:val="clear" w:color="auto" w:fill="595959"/>
          </w:tcPr>
          <w:p w:rsidR="001726F6" w:rsidRPr="00386739" w:rsidRDefault="001726F6" w:rsidP="00EE57B4">
            <w:pPr>
              <w:pStyle w:val="Heading1"/>
            </w:pPr>
            <w:r w:rsidRPr="00386739">
              <w:t>Section 11 – Toxicological Information</w:t>
            </w:r>
          </w:p>
        </w:tc>
      </w:tr>
      <w:tr w:rsidR="001726F6" w:rsidRPr="00386739" w:rsidTr="00EE57B4">
        <w:tc>
          <w:tcPr>
            <w:tcW w:w="5000" w:type="pct"/>
          </w:tcPr>
          <w:p w:rsidR="001726F6" w:rsidRPr="00386739" w:rsidRDefault="001726F6" w:rsidP="00EE57B4">
            <w:r w:rsidRPr="00386739">
              <w:t xml:space="preserve">This material has not been tested as a whole.  Based on information available for its components the oral, rat, LD50 is anticipated to be greater than 65 g/kg </w:t>
            </w:r>
          </w:p>
        </w:tc>
      </w:tr>
      <w:tr w:rsidR="001726F6" w:rsidRPr="00386739" w:rsidTr="00EE57B4">
        <w:tc>
          <w:tcPr>
            <w:tcW w:w="5000" w:type="pct"/>
            <w:shd w:val="clear" w:color="auto" w:fill="595959"/>
          </w:tcPr>
          <w:p w:rsidR="001726F6" w:rsidRPr="00386739" w:rsidRDefault="001726F6" w:rsidP="00EE57B4">
            <w:pPr>
              <w:pStyle w:val="Heading1"/>
            </w:pPr>
            <w:r w:rsidRPr="00386739">
              <w:t>Section 12 – Ecological Information</w:t>
            </w:r>
          </w:p>
        </w:tc>
      </w:tr>
      <w:tr w:rsidR="001726F6" w:rsidRPr="00386739" w:rsidTr="00655DBA">
        <w:tc>
          <w:tcPr>
            <w:tcW w:w="5000" w:type="pct"/>
          </w:tcPr>
          <w:p w:rsidR="001726F6" w:rsidRPr="00386739" w:rsidRDefault="001726F6" w:rsidP="00655DBA">
            <w:r w:rsidRPr="00386739">
              <w:t>Environmental Fate:  No data found</w:t>
            </w:r>
          </w:p>
          <w:p w:rsidR="001726F6" w:rsidRPr="00386739" w:rsidRDefault="001726F6" w:rsidP="00655DBA">
            <w:r w:rsidRPr="00386739">
              <w:t>Ecotoxicity:  No data found</w:t>
            </w:r>
          </w:p>
        </w:tc>
      </w:tr>
      <w:tr w:rsidR="001726F6" w:rsidRPr="00386739" w:rsidTr="00655DBA">
        <w:tc>
          <w:tcPr>
            <w:tcW w:w="5000" w:type="pct"/>
            <w:shd w:val="clear" w:color="auto" w:fill="595959"/>
          </w:tcPr>
          <w:p w:rsidR="001726F6" w:rsidRPr="00386739" w:rsidRDefault="001726F6" w:rsidP="00655DBA">
            <w:pPr>
              <w:pStyle w:val="Heading1"/>
            </w:pPr>
            <w:r w:rsidRPr="00386739">
              <w:t>Section 13 – Disposal Considerations</w:t>
            </w:r>
          </w:p>
        </w:tc>
      </w:tr>
      <w:tr w:rsidR="001726F6" w:rsidRPr="00386739" w:rsidTr="00655DBA">
        <w:tc>
          <w:tcPr>
            <w:tcW w:w="5000" w:type="pct"/>
          </w:tcPr>
          <w:p w:rsidR="001726F6" w:rsidRPr="00386739" w:rsidRDefault="001726F6" w:rsidP="00655DBA">
            <w:r w:rsidRPr="00386739">
              <w:t>Disposal:  Rec</w:t>
            </w:r>
            <w:r>
              <w:t>ycle wherever possible.  Follow</w:t>
            </w:r>
            <w:r w:rsidRPr="00386739">
              <w:t xml:space="preserve"> applicable federal, state, and local regulations.  </w:t>
            </w:r>
          </w:p>
        </w:tc>
      </w:tr>
      <w:tr w:rsidR="001726F6" w:rsidRPr="00386739" w:rsidTr="00655DBA">
        <w:tc>
          <w:tcPr>
            <w:tcW w:w="5000" w:type="pct"/>
            <w:shd w:val="clear" w:color="auto" w:fill="595959"/>
          </w:tcPr>
          <w:p w:rsidR="001726F6" w:rsidRPr="00386739" w:rsidRDefault="001726F6" w:rsidP="00655DBA">
            <w:pPr>
              <w:pStyle w:val="Heading1"/>
            </w:pPr>
            <w:r w:rsidRPr="00386739">
              <w:t>Section 14 – Transport Information</w:t>
            </w:r>
          </w:p>
        </w:tc>
      </w:tr>
      <w:tr w:rsidR="001726F6" w:rsidRPr="00386739" w:rsidTr="00655DBA">
        <w:tc>
          <w:tcPr>
            <w:tcW w:w="5000" w:type="pct"/>
          </w:tcPr>
          <w:p w:rsidR="001726F6" w:rsidRPr="00386739" w:rsidRDefault="001726F6" w:rsidP="00655DBA">
            <w:r w:rsidRPr="00386739">
              <w:t>DOT Transportation Data (49 CFR 172.101):  Not a regulated material</w:t>
            </w:r>
          </w:p>
        </w:tc>
      </w:tr>
      <w:tr w:rsidR="001726F6" w:rsidRPr="00386739" w:rsidTr="00655DBA">
        <w:tc>
          <w:tcPr>
            <w:tcW w:w="5000" w:type="pct"/>
            <w:shd w:val="clear" w:color="auto" w:fill="595959"/>
          </w:tcPr>
          <w:p w:rsidR="001726F6" w:rsidRPr="00386739" w:rsidRDefault="001726F6" w:rsidP="00655DBA">
            <w:pPr>
              <w:pStyle w:val="Heading1"/>
            </w:pPr>
            <w:r w:rsidRPr="00386739">
              <w:t>Section 15 – Regulatory Information</w:t>
            </w:r>
          </w:p>
        </w:tc>
      </w:tr>
      <w:tr w:rsidR="001726F6" w:rsidRPr="00386739" w:rsidTr="00655DBA">
        <w:tc>
          <w:tcPr>
            <w:tcW w:w="5000" w:type="pct"/>
          </w:tcPr>
          <w:p w:rsidR="001726F6" w:rsidRPr="00386739" w:rsidRDefault="001726F6" w:rsidP="00655DBA">
            <w:r w:rsidRPr="00386739">
              <w:t xml:space="preserve">For mixture or components present in quantities greater than 1% - </w:t>
            </w:r>
          </w:p>
          <w:p w:rsidR="001726F6" w:rsidRPr="00386739" w:rsidRDefault="001726F6" w:rsidP="00655DBA">
            <w:r w:rsidRPr="00386739">
              <w:tab/>
              <w:t>RCRA 40 CFR:  Not regulated</w:t>
            </w:r>
          </w:p>
          <w:p w:rsidR="001726F6" w:rsidRPr="00386739" w:rsidRDefault="001726F6" w:rsidP="00655DBA">
            <w:r w:rsidRPr="00386739">
              <w:tab/>
              <w:t xml:space="preserve">CERCLA 40 CFR 302.4:  Not regulated </w:t>
            </w:r>
          </w:p>
          <w:p w:rsidR="001726F6" w:rsidRPr="00386739" w:rsidRDefault="001726F6" w:rsidP="00655DBA">
            <w:r w:rsidRPr="00386739">
              <w:tab/>
              <w:t>SARA 40 CFR 372.65:  Not regulated</w:t>
            </w:r>
          </w:p>
          <w:p w:rsidR="001726F6" w:rsidRPr="00386739" w:rsidRDefault="001726F6" w:rsidP="00655DBA">
            <w:r w:rsidRPr="00386739">
              <w:tab/>
              <w:t>SARA EHS 40 CFR 355:  Not regulated</w:t>
            </w:r>
          </w:p>
          <w:p w:rsidR="001726F6" w:rsidRPr="00386739" w:rsidRDefault="001726F6" w:rsidP="00655DBA">
            <w:r w:rsidRPr="00386739">
              <w:tab/>
              <w:t>TSCA:  Components of this material have been listed in the TSCA index</w:t>
            </w:r>
          </w:p>
        </w:tc>
      </w:tr>
      <w:tr w:rsidR="001726F6" w:rsidRPr="00386739" w:rsidTr="00655DBA">
        <w:tc>
          <w:tcPr>
            <w:tcW w:w="5000" w:type="pct"/>
            <w:shd w:val="clear" w:color="auto" w:fill="595959"/>
          </w:tcPr>
          <w:p w:rsidR="001726F6" w:rsidRPr="00386739" w:rsidRDefault="001726F6" w:rsidP="00655DBA">
            <w:pPr>
              <w:pStyle w:val="Heading1"/>
            </w:pPr>
            <w:r w:rsidRPr="00386739">
              <w:t>Section 16 – Other Information</w:t>
            </w:r>
          </w:p>
        </w:tc>
      </w:tr>
      <w:tr w:rsidR="001726F6" w:rsidRPr="00386739" w:rsidTr="00655DBA">
        <w:tc>
          <w:tcPr>
            <w:tcW w:w="5000" w:type="pct"/>
          </w:tcPr>
          <w:p w:rsidR="001726F6" w:rsidRPr="00386739" w:rsidRDefault="001726F6" w:rsidP="00655DBA">
            <w:r w:rsidRPr="00386739">
              <w:t>Prepared By: Karta Purkh Sin</w:t>
            </w:r>
            <w:r>
              <w:t>gh Khalsa</w:t>
            </w:r>
            <w:r>
              <w:tab/>
            </w:r>
            <w:r>
              <w:tab/>
            </w:r>
            <w:r>
              <w:tab/>
            </w:r>
            <w:r>
              <w:tab/>
            </w:r>
            <w:r>
              <w:tab/>
              <w:t>Date Prepared:  02/2012</w:t>
            </w:r>
          </w:p>
          <w:p w:rsidR="001726F6" w:rsidRPr="00386739" w:rsidRDefault="001726F6" w:rsidP="00655DBA"/>
          <w:p w:rsidR="001726F6" w:rsidRPr="00386739" w:rsidRDefault="001726F6" w:rsidP="00655DBA">
            <w:r w:rsidRPr="00386739">
              <w:t xml:space="preserve">Disclaimer:  The data presented here relates only to the specific material designated herein and does not relate to use in combination with any other materials or in any process.  The information set forth herein is based on technical data believed to be reliable.  It is intended for use by persons having technical skill and at their own discretion and risk.  Since conditions of use are outside our control, no warranties, expressed or implied are made, and no liability is assumed in connection with any use of this information.  Judgments as to the suitability of this information for the user’s purposes are necessarily the user’s responsibility.  Although reasonable care has been taken in the preparation of this information, no responsibility is assumed as to the accuracy or suitability of this information for its application to the users intended purpose or for consequences of its use.  </w:t>
            </w:r>
          </w:p>
        </w:tc>
      </w:tr>
    </w:tbl>
    <w:p w:rsidR="001726F6" w:rsidRPr="00386739" w:rsidRDefault="001726F6"/>
    <w:p w:rsidR="001726F6" w:rsidRPr="00386739" w:rsidRDefault="001726F6"/>
    <w:p w:rsidR="001726F6" w:rsidRPr="00386739" w:rsidRDefault="001726F6"/>
    <w:sectPr w:rsidR="001726F6" w:rsidRPr="00386739" w:rsidSect="00784D21">
      <w:headerReference w:type="default" r:id="rId6"/>
      <w:footerReference w:type="even" r:id="rId7"/>
      <w:footerReference w:type="default" r:id="rId8"/>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F6" w:rsidRDefault="001726F6">
      <w:r>
        <w:separator/>
      </w:r>
    </w:p>
  </w:endnote>
  <w:endnote w:type="continuationSeparator" w:id="0">
    <w:p w:rsidR="001726F6" w:rsidRDefault="00172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F6" w:rsidRDefault="001726F6" w:rsidP="00EE5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6F6" w:rsidRDefault="001726F6" w:rsidP="00784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F6" w:rsidRDefault="001726F6" w:rsidP="00EE5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26F6" w:rsidRDefault="001726F6" w:rsidP="00784D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F6" w:rsidRDefault="001726F6">
      <w:r>
        <w:separator/>
      </w:r>
    </w:p>
  </w:footnote>
  <w:footnote w:type="continuationSeparator" w:id="0">
    <w:p w:rsidR="001726F6" w:rsidRDefault="00172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F6" w:rsidRPr="00A11CA5" w:rsidRDefault="001726F6" w:rsidP="001318AF">
    <w:pPr>
      <w:pStyle w:val="Header"/>
      <w:jc w:val="both"/>
      <w:rPr>
        <w:sz w:val="22"/>
      </w:rPr>
    </w:pPr>
    <w:r w:rsidRPr="00A11CA5">
      <w:rPr>
        <w:sz w:val="22"/>
      </w:rPr>
      <w:t xml:space="preserve">Narayan Balm with Camphor and Menthol Material Safety Data Sheet  </w:t>
    </w:r>
    <w:r>
      <w:rPr>
        <w:sz w:val="22"/>
      </w:rPr>
      <w:tab/>
      <w:t xml:space="preserve">                         </w:t>
    </w:r>
    <w:r w:rsidRPr="00A11CA5">
      <w:rPr>
        <w:sz w:val="22"/>
      </w:rPr>
      <w:t>Soothing Touch February 20, 2012</w:t>
    </w:r>
  </w:p>
  <w:p w:rsidR="001726F6" w:rsidRDefault="001726F6" w:rsidP="001318AF">
    <w:pPr>
      <w:pStyle w:val="Header"/>
      <w:jc w:val="both"/>
    </w:pPr>
  </w:p>
  <w:p w:rsidR="001726F6" w:rsidRDefault="001726F6" w:rsidP="001318AF">
    <w:pPr>
      <w:pStyle w:val="Header"/>
      <w:jc w:val="both"/>
    </w:pPr>
  </w:p>
  <w:p w:rsidR="001726F6" w:rsidRDefault="001726F6" w:rsidP="001318AF">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142"/>
    <w:rsid w:val="00051C8D"/>
    <w:rsid w:val="00054693"/>
    <w:rsid w:val="000A5573"/>
    <w:rsid w:val="000C53F8"/>
    <w:rsid w:val="00122AD0"/>
    <w:rsid w:val="001318AF"/>
    <w:rsid w:val="00155DED"/>
    <w:rsid w:val="00156934"/>
    <w:rsid w:val="0017190E"/>
    <w:rsid w:val="001726F6"/>
    <w:rsid w:val="001E145C"/>
    <w:rsid w:val="002308E4"/>
    <w:rsid w:val="00252CF7"/>
    <w:rsid w:val="00270352"/>
    <w:rsid w:val="002F6024"/>
    <w:rsid w:val="00351B57"/>
    <w:rsid w:val="00386739"/>
    <w:rsid w:val="003A6186"/>
    <w:rsid w:val="003B232F"/>
    <w:rsid w:val="003D1B6C"/>
    <w:rsid w:val="003D56E0"/>
    <w:rsid w:val="003D5BB1"/>
    <w:rsid w:val="003E4F62"/>
    <w:rsid w:val="003F1E01"/>
    <w:rsid w:val="004547BA"/>
    <w:rsid w:val="00455CDB"/>
    <w:rsid w:val="004644EE"/>
    <w:rsid w:val="004A46AE"/>
    <w:rsid w:val="004A4773"/>
    <w:rsid w:val="004A59D7"/>
    <w:rsid w:val="004D5D4E"/>
    <w:rsid w:val="004E6DEB"/>
    <w:rsid w:val="004E7165"/>
    <w:rsid w:val="00514C64"/>
    <w:rsid w:val="005A7142"/>
    <w:rsid w:val="005B5712"/>
    <w:rsid w:val="005C1F4E"/>
    <w:rsid w:val="006008A2"/>
    <w:rsid w:val="00655DBA"/>
    <w:rsid w:val="006B2C6F"/>
    <w:rsid w:val="006D54CF"/>
    <w:rsid w:val="0073331A"/>
    <w:rsid w:val="007346E8"/>
    <w:rsid w:val="00737240"/>
    <w:rsid w:val="0075302E"/>
    <w:rsid w:val="00774ED5"/>
    <w:rsid w:val="00782027"/>
    <w:rsid w:val="00784D21"/>
    <w:rsid w:val="00797123"/>
    <w:rsid w:val="00813141"/>
    <w:rsid w:val="00816EA5"/>
    <w:rsid w:val="00834D5D"/>
    <w:rsid w:val="00892D29"/>
    <w:rsid w:val="008B6FF3"/>
    <w:rsid w:val="009139A2"/>
    <w:rsid w:val="00967BB0"/>
    <w:rsid w:val="00981A36"/>
    <w:rsid w:val="009E12A1"/>
    <w:rsid w:val="00A11CA5"/>
    <w:rsid w:val="00A14D28"/>
    <w:rsid w:val="00A25D4F"/>
    <w:rsid w:val="00A8424B"/>
    <w:rsid w:val="00A93453"/>
    <w:rsid w:val="00AA0626"/>
    <w:rsid w:val="00AC1FBB"/>
    <w:rsid w:val="00AD1DE5"/>
    <w:rsid w:val="00AD2D36"/>
    <w:rsid w:val="00B25E9F"/>
    <w:rsid w:val="00BB533A"/>
    <w:rsid w:val="00C679E1"/>
    <w:rsid w:val="00CA2D72"/>
    <w:rsid w:val="00CB094F"/>
    <w:rsid w:val="00CE03A9"/>
    <w:rsid w:val="00D44A4E"/>
    <w:rsid w:val="00DA0088"/>
    <w:rsid w:val="00E47DD8"/>
    <w:rsid w:val="00E60386"/>
    <w:rsid w:val="00E647F2"/>
    <w:rsid w:val="00EA4B8E"/>
    <w:rsid w:val="00ED1DD3"/>
    <w:rsid w:val="00EE57B4"/>
    <w:rsid w:val="00F256A4"/>
    <w:rsid w:val="00F32823"/>
    <w:rsid w:val="00F43FC0"/>
    <w:rsid w:val="00F60CFF"/>
    <w:rsid w:val="00F81B4F"/>
    <w:rsid w:val="00F952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53"/>
    <w:rPr>
      <w:sz w:val="24"/>
      <w:szCs w:val="24"/>
    </w:rPr>
  </w:style>
  <w:style w:type="paragraph" w:styleId="Heading1">
    <w:name w:val="heading 1"/>
    <w:basedOn w:val="Normal"/>
    <w:next w:val="Normal"/>
    <w:link w:val="Heading1Char"/>
    <w:uiPriority w:val="99"/>
    <w:qFormat/>
    <w:rsid w:val="00A93453"/>
    <w:pPr>
      <w:keepNext/>
      <w:jc w:val="center"/>
      <w:outlineLvl w:val="0"/>
    </w:pPr>
    <w:rPr>
      <w:b/>
      <w:bCs/>
      <w:color w:val="FFFFFF"/>
    </w:rPr>
  </w:style>
  <w:style w:type="paragraph" w:styleId="Heading2">
    <w:name w:val="heading 2"/>
    <w:basedOn w:val="Normal"/>
    <w:next w:val="Normal"/>
    <w:link w:val="Heading2Char"/>
    <w:uiPriority w:val="99"/>
    <w:qFormat/>
    <w:rsid w:val="00A93453"/>
    <w:pPr>
      <w:keepNext/>
      <w:outlineLvl w:val="1"/>
    </w:pPr>
    <w:rPr>
      <w:b/>
      <w:bCs/>
    </w:rPr>
  </w:style>
  <w:style w:type="paragraph" w:styleId="Heading3">
    <w:name w:val="heading 3"/>
    <w:basedOn w:val="Normal"/>
    <w:next w:val="Normal"/>
    <w:link w:val="Heading3Char"/>
    <w:uiPriority w:val="99"/>
    <w:qFormat/>
    <w:rsid w:val="00A93453"/>
    <w:pPr>
      <w:keepNext/>
      <w:outlineLvl w:val="2"/>
    </w:pPr>
    <w:rPr>
      <w:b/>
      <w:bCs/>
      <w:sz w:val="28"/>
    </w:rPr>
  </w:style>
  <w:style w:type="paragraph" w:styleId="Heading4">
    <w:name w:val="heading 4"/>
    <w:basedOn w:val="Normal"/>
    <w:next w:val="Normal"/>
    <w:link w:val="Heading4Char"/>
    <w:uiPriority w:val="99"/>
    <w:qFormat/>
    <w:rsid w:val="00A93453"/>
    <w:pPr>
      <w:keepNext/>
      <w:autoSpaceDE w:val="0"/>
      <w:autoSpaceDN w:val="0"/>
      <w:adjustRightInd w:val="0"/>
      <w:outlineLvl w:val="3"/>
    </w:pPr>
    <w:rPr>
      <w:b/>
      <w:bCs/>
      <w:sz w:val="20"/>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CB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7CB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7CB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7CBC"/>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A93453"/>
    <w:pPr>
      <w:ind w:left="360" w:hanging="360"/>
    </w:pPr>
  </w:style>
  <w:style w:type="character" w:customStyle="1" w:styleId="BodyTextIndentChar">
    <w:name w:val="Body Text Indent Char"/>
    <w:basedOn w:val="DefaultParagraphFont"/>
    <w:link w:val="BodyTextIndent"/>
    <w:uiPriority w:val="99"/>
    <w:semiHidden/>
    <w:rsid w:val="00D47CBC"/>
    <w:rPr>
      <w:sz w:val="24"/>
      <w:szCs w:val="24"/>
    </w:rPr>
  </w:style>
  <w:style w:type="paragraph" w:styleId="Header">
    <w:name w:val="header"/>
    <w:basedOn w:val="Normal"/>
    <w:link w:val="HeaderChar"/>
    <w:uiPriority w:val="99"/>
    <w:rsid w:val="00A93453"/>
    <w:pPr>
      <w:tabs>
        <w:tab w:val="center" w:pos="4320"/>
        <w:tab w:val="right" w:pos="8640"/>
      </w:tabs>
    </w:pPr>
  </w:style>
  <w:style w:type="character" w:customStyle="1" w:styleId="HeaderChar">
    <w:name w:val="Header Char"/>
    <w:basedOn w:val="DefaultParagraphFont"/>
    <w:link w:val="Header"/>
    <w:uiPriority w:val="99"/>
    <w:semiHidden/>
    <w:rsid w:val="00D47CBC"/>
    <w:rPr>
      <w:sz w:val="24"/>
      <w:szCs w:val="24"/>
    </w:rPr>
  </w:style>
  <w:style w:type="paragraph" w:styleId="Footer">
    <w:name w:val="footer"/>
    <w:basedOn w:val="Normal"/>
    <w:link w:val="FooterChar"/>
    <w:uiPriority w:val="99"/>
    <w:rsid w:val="00A93453"/>
    <w:pPr>
      <w:tabs>
        <w:tab w:val="center" w:pos="4320"/>
        <w:tab w:val="right" w:pos="8640"/>
      </w:tabs>
    </w:pPr>
  </w:style>
  <w:style w:type="character" w:customStyle="1" w:styleId="FooterChar">
    <w:name w:val="Footer Char"/>
    <w:basedOn w:val="DefaultParagraphFont"/>
    <w:link w:val="Footer"/>
    <w:uiPriority w:val="99"/>
    <w:semiHidden/>
    <w:rsid w:val="00D47CBC"/>
    <w:rPr>
      <w:sz w:val="24"/>
      <w:szCs w:val="24"/>
    </w:rPr>
  </w:style>
  <w:style w:type="character" w:styleId="PageNumber">
    <w:name w:val="page number"/>
    <w:basedOn w:val="DefaultParagraphFont"/>
    <w:uiPriority w:val="99"/>
    <w:rsid w:val="006008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994</Words>
  <Characters>5670</Characters>
  <Application>Microsoft Office Outlook</Application>
  <DocSecurity>0</DocSecurity>
  <Lines>0</Lines>
  <Paragraphs>0</Paragraphs>
  <ScaleCrop>false</ScaleCrop>
  <Company>Soothing Touch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 Creme MSDS</dc:title>
  <dc:subject>Versa Creme MSDS</dc:subject>
  <dc:creator>Karta Purkh Singh Khalsa</dc:creator>
  <cp:keywords/>
  <dc:description/>
  <cp:lastModifiedBy>theath</cp:lastModifiedBy>
  <cp:revision>2</cp:revision>
  <cp:lastPrinted>2005-08-24T21:45:00Z</cp:lastPrinted>
  <dcterms:created xsi:type="dcterms:W3CDTF">2014-01-30T14:00:00Z</dcterms:created>
  <dcterms:modified xsi:type="dcterms:W3CDTF">2014-01-30T14:00:00Z</dcterms:modified>
</cp:coreProperties>
</file>